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E8F3" w14:textId="116EDE6F" w:rsidR="00E15538" w:rsidRPr="00E15538" w:rsidRDefault="00E15538" w:rsidP="00E15538">
      <w:pPr>
        <w:spacing w:after="160" w:line="259" w:lineRule="auto"/>
        <w:rPr>
          <w:rFonts w:ascii="NimbusSanNov" w:eastAsia="Times New Roman" w:hAnsi="NimbusSanNov"/>
          <w:b/>
          <w:bCs/>
          <w:lang w:val="fr-CH"/>
          <w14:ligatures w14:val="none"/>
        </w:rPr>
      </w:pPr>
      <w:bookmarkStart w:id="0" w:name="_GoBack"/>
      <w:bookmarkEnd w:id="0"/>
      <w:r w:rsidRPr="00E15538">
        <w:rPr>
          <w:rFonts w:ascii="NimbusSanNov" w:eastAsia="Times New Roman" w:hAnsi="NimbusSanNov"/>
          <w:b/>
          <w:bCs/>
          <w:lang w:val="fr-CH"/>
          <w14:ligatures w14:val="none"/>
        </w:rPr>
        <w:t>Modèle d</w:t>
      </w:r>
      <w:r w:rsidR="00582633">
        <w:rPr>
          <w:rFonts w:ascii="NimbusSanNov" w:eastAsia="Times New Roman" w:hAnsi="NimbusSanNov"/>
          <w:b/>
          <w:bCs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b/>
          <w:bCs/>
          <w:lang w:val="fr-CH"/>
          <w14:ligatures w14:val="none"/>
        </w:rPr>
        <w:t xml:space="preserve">intervention pour les partis </w:t>
      </w:r>
      <w:r w:rsidR="00582633">
        <w:rPr>
          <w:rFonts w:ascii="NimbusSanNov" w:eastAsia="Times New Roman" w:hAnsi="NimbusSanNov"/>
          <w:b/>
          <w:bCs/>
          <w:lang w:val="fr-CH"/>
          <w14:ligatures w14:val="none"/>
        </w:rPr>
        <w:t>de villes</w:t>
      </w:r>
      <w:r w:rsidRPr="00E15538">
        <w:rPr>
          <w:rFonts w:ascii="NimbusSanNov" w:eastAsia="Times New Roman" w:hAnsi="NimbusSanNov"/>
          <w:b/>
          <w:bCs/>
          <w:lang w:val="fr-CH"/>
          <w14:ligatures w14:val="none"/>
        </w:rPr>
        <w:t xml:space="preserve"> du PS suisse</w:t>
      </w:r>
    </w:p>
    <w:p w14:paraId="0387B990" w14:textId="3E41363C" w:rsidR="00E15538" w:rsidRPr="00E15538" w:rsidRDefault="00E15538" w:rsidP="00E15538">
      <w:pPr>
        <w:spacing w:after="160" w:line="259" w:lineRule="auto"/>
        <w:rPr>
          <w:rFonts w:ascii="NimbusSanNov" w:eastAsia="Times New Roman" w:hAnsi="NimbusSanNov"/>
          <w:b/>
          <w:bCs/>
          <w:lang w:val="fr-CH"/>
          <w14:ligatures w14:val="none"/>
        </w:rPr>
      </w:pPr>
      <w:r w:rsidRPr="00E15538">
        <w:rPr>
          <w:rFonts w:ascii="NimbusSanNov" w:eastAsia="Times New Roman" w:hAnsi="NimbusSanNov"/>
          <w:b/>
          <w:bCs/>
          <w:lang w:val="fr-CH"/>
          <w14:ligatures w14:val="none"/>
        </w:rPr>
        <w:t>Question urgente/</w:t>
      </w:r>
      <w:r w:rsidR="00582633">
        <w:rPr>
          <w:rFonts w:ascii="NimbusSanNov" w:eastAsia="Times New Roman" w:hAnsi="NimbusSanNov"/>
          <w:b/>
          <w:bCs/>
          <w:lang w:val="fr-CH"/>
          <w14:ligatures w14:val="none"/>
        </w:rPr>
        <w:t>i</w:t>
      </w:r>
      <w:r w:rsidRPr="00E15538">
        <w:rPr>
          <w:rFonts w:ascii="NimbusSanNov" w:eastAsia="Times New Roman" w:hAnsi="NimbusSanNov"/>
          <w:b/>
          <w:bCs/>
          <w:lang w:val="fr-CH"/>
          <w14:ligatures w14:val="none"/>
        </w:rPr>
        <w:t>nterpellation</w:t>
      </w:r>
    </w:p>
    <w:p w14:paraId="0E7075FF" w14:textId="350AAC82" w:rsidR="00E15538" w:rsidRPr="00E15538" w:rsidRDefault="00E15538" w:rsidP="00E15538">
      <w:pPr>
        <w:spacing w:after="160" w:line="259" w:lineRule="auto"/>
        <w:rPr>
          <w:rFonts w:ascii="NimbusSanNov" w:eastAsia="Times New Roman" w:hAnsi="NimbusSanNov"/>
          <w:lang w:val="fr-CH"/>
          <w14:ligatures w14:val="none"/>
        </w:rPr>
      </w:pPr>
      <w:r w:rsidRPr="00E15538">
        <w:rPr>
          <w:rFonts w:ascii="NimbusSanNov" w:eastAsia="Times New Roman" w:hAnsi="NimbusSanNov"/>
          <w:lang w:val="fr-CH"/>
          <w14:ligatures w14:val="none"/>
        </w:rPr>
        <w:t xml:space="preserve">Le rachat du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Cr</w:t>
      </w:r>
      <w:r w:rsidR="00582633">
        <w:rPr>
          <w:rFonts w:ascii="NimbusSanNov" w:eastAsia="Times New Roman" w:hAnsi="NimbusSanNov"/>
          <w:lang w:val="fr-CH"/>
          <w14:ligatures w14:val="none"/>
        </w:rPr>
        <w:t>e</w:t>
      </w:r>
      <w:r w:rsidRPr="00E15538">
        <w:rPr>
          <w:rFonts w:ascii="NimbusSanNov" w:eastAsia="Times New Roman" w:hAnsi="NimbusSanNov"/>
          <w:lang w:val="fr-CH"/>
          <w14:ligatures w14:val="none"/>
        </w:rPr>
        <w:t>dit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Suisse par l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 xml:space="preserve">UBS a notamment pour conséquence que la nouvelle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mégabanque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devient un acteur dominant sur le marché immobilier suisse. Dans ce contexte, les questions suivantes se posent</w:t>
      </w:r>
      <w:r w:rsidR="00582633">
        <w:rPr>
          <w:rFonts w:ascii="Times New Roman" w:eastAsia="Times New Roman" w:hAnsi="Times New Roman" w:cs="Times New Roman"/>
          <w:lang w:val="fr-CH"/>
          <w14:ligatures w14:val="none"/>
        </w:rPr>
        <w:t> </w:t>
      </w:r>
      <w:r w:rsidRPr="00E15538">
        <w:rPr>
          <w:rFonts w:ascii="NimbusSanNov" w:eastAsia="Times New Roman" w:hAnsi="NimbusSanNov"/>
          <w:lang w:val="fr-CH"/>
          <w14:ligatures w14:val="none"/>
        </w:rPr>
        <w:t>:</w:t>
      </w:r>
    </w:p>
    <w:p w14:paraId="0B6B7070" w14:textId="781A7631" w:rsidR="00E15538" w:rsidRPr="00E15538" w:rsidRDefault="00E15538" w:rsidP="00E15538">
      <w:pPr>
        <w:pStyle w:val="Listenabsatz"/>
        <w:numPr>
          <w:ilvl w:val="0"/>
          <w:numId w:val="4"/>
        </w:numPr>
        <w:spacing w:after="160" w:line="259" w:lineRule="auto"/>
        <w:rPr>
          <w:rFonts w:ascii="NimbusSanNov" w:eastAsia="Times New Roman" w:hAnsi="NimbusSanNov"/>
          <w:lang w:val="fr-CH"/>
          <w14:ligatures w14:val="none"/>
        </w:rPr>
      </w:pPr>
      <w:r w:rsidRPr="00E15538">
        <w:rPr>
          <w:rFonts w:ascii="NimbusSanNov" w:eastAsia="Times New Roman" w:hAnsi="NimbusSanNov"/>
          <w:lang w:val="fr-CH"/>
          <w14:ligatures w14:val="none"/>
        </w:rPr>
        <w:t xml:space="preserve">Quels sont les biens immobiliers situés sur le territoire de la ville </w:t>
      </w:r>
      <w:r w:rsidR="00582633">
        <w:rPr>
          <w:rFonts w:ascii="NimbusSanNov" w:eastAsia="Times New Roman" w:hAnsi="NimbusSanNov"/>
          <w:lang w:val="fr-CH"/>
          <w14:ligatures w14:val="none"/>
        </w:rPr>
        <w:t xml:space="preserve">de </w:t>
      </w:r>
      <w:r w:rsidRPr="00E15538">
        <w:rPr>
          <w:rFonts w:ascii="NimbusSanNov" w:eastAsia="Times New Roman" w:hAnsi="NimbusSanNov"/>
          <w:highlight w:val="yellow"/>
          <w:lang w:val="fr-CH"/>
          <w14:ligatures w14:val="none"/>
        </w:rPr>
        <w:t>XYZ</w:t>
      </w:r>
      <w:r w:rsidRPr="00E15538">
        <w:rPr>
          <w:rFonts w:ascii="NimbusSanNov" w:eastAsia="Times New Roman" w:hAnsi="NimbusSanNov"/>
          <w:lang w:val="fr-CH"/>
          <w14:ligatures w14:val="none"/>
        </w:rPr>
        <w:t xml:space="preserve"> qui sont la propriété du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Credit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Suisse Group ou de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Credit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Suisse AG</w:t>
      </w:r>
      <w:r w:rsidR="00582633">
        <w:rPr>
          <w:rFonts w:ascii="Times New Roman" w:eastAsia="Times New Roman" w:hAnsi="Times New Roman" w:cs="Times New Roman"/>
          <w:lang w:val="fr-CH"/>
          <w14:ligatures w14:val="none"/>
        </w:rPr>
        <w:t> </w:t>
      </w:r>
      <w:r w:rsidRPr="00E15538">
        <w:rPr>
          <w:rFonts w:ascii="NimbusSanNov" w:eastAsia="Times New Roman" w:hAnsi="NimbusSanNov"/>
          <w:lang w:val="fr-CH"/>
          <w14:ligatures w14:val="none"/>
        </w:rPr>
        <w:t>? Nous demandons une liste avec des indications précises et spécifiques à l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>objet selon les inscriptions au registre foncier.</w:t>
      </w:r>
    </w:p>
    <w:p w14:paraId="0A063991" w14:textId="56B6127D" w:rsidR="00E15538" w:rsidRPr="00E15538" w:rsidRDefault="00E15538" w:rsidP="00E15538">
      <w:pPr>
        <w:pStyle w:val="Listenabsatz"/>
        <w:numPr>
          <w:ilvl w:val="0"/>
          <w:numId w:val="4"/>
        </w:numPr>
        <w:spacing w:after="160" w:line="259" w:lineRule="auto"/>
        <w:rPr>
          <w:rFonts w:ascii="NimbusSanNov" w:eastAsia="Times New Roman" w:hAnsi="NimbusSanNov"/>
          <w:lang w:val="fr-CH"/>
          <w14:ligatures w14:val="none"/>
        </w:rPr>
      </w:pPr>
      <w:r w:rsidRPr="00E15538">
        <w:rPr>
          <w:rFonts w:ascii="NimbusSanNov" w:eastAsia="Times New Roman" w:hAnsi="NimbusSanNov"/>
          <w:lang w:val="fr-CH"/>
          <w14:ligatures w14:val="none"/>
        </w:rPr>
        <w:t xml:space="preserve">Quels sont les immeubles situés sur le territoire de la ville de </w:t>
      </w:r>
      <w:r w:rsidRPr="00E15538">
        <w:rPr>
          <w:rFonts w:ascii="NimbusSanNov" w:eastAsia="Times New Roman" w:hAnsi="NimbusSanNov"/>
          <w:highlight w:val="yellow"/>
          <w:lang w:val="fr-CH"/>
          <w14:ligatures w14:val="none"/>
        </w:rPr>
        <w:t>XYZ</w:t>
      </w:r>
      <w:r w:rsidRPr="00E15538">
        <w:rPr>
          <w:rFonts w:ascii="NimbusSanNov" w:eastAsia="Times New Roman" w:hAnsi="NimbusSanNov"/>
          <w:lang w:val="fr-CH"/>
          <w14:ligatures w14:val="none"/>
        </w:rPr>
        <w:t xml:space="preserve"> qui sont la propriété de fonds (p</w:t>
      </w:r>
      <w:r w:rsidR="00582633">
        <w:rPr>
          <w:rFonts w:ascii="NimbusSanNov" w:eastAsia="Times New Roman" w:hAnsi="NimbusSanNov"/>
          <w:lang w:val="fr-CH"/>
          <w14:ligatures w14:val="none"/>
        </w:rPr>
        <w:t>.</w:t>
      </w:r>
      <w:r w:rsidRPr="00E15538">
        <w:rPr>
          <w:rFonts w:ascii="NimbusSanNov" w:eastAsia="Times New Roman" w:hAnsi="NimbusSanNov"/>
          <w:lang w:val="fr-CH"/>
          <w14:ligatures w14:val="none"/>
        </w:rPr>
        <w:t xml:space="preserve"> ex. CS REF Green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Property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Fonds, CS REF Living Plus, CS REF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Hospitality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Fonds) ou de sociétés affiliées du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Credit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Suisse (p</w:t>
      </w:r>
      <w:r w:rsidR="00582633">
        <w:rPr>
          <w:rFonts w:ascii="NimbusSanNov" w:eastAsia="Times New Roman" w:hAnsi="NimbusSanNov"/>
          <w:lang w:val="fr-CH"/>
          <w14:ligatures w14:val="none"/>
        </w:rPr>
        <w:t>.</w:t>
      </w:r>
      <w:r w:rsidRPr="00E15538">
        <w:rPr>
          <w:rFonts w:ascii="NimbusSanNov" w:eastAsia="Times New Roman" w:hAnsi="NimbusSanNov"/>
          <w:lang w:val="fr-CH"/>
          <w14:ligatures w14:val="none"/>
        </w:rPr>
        <w:t xml:space="preserve"> ex.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Credit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Suisse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Assetmanagement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AG)</w:t>
      </w:r>
      <w:r w:rsidR="00582633">
        <w:rPr>
          <w:rFonts w:ascii="Times New Roman" w:eastAsia="Times New Roman" w:hAnsi="Times New Roman" w:cs="Times New Roman"/>
          <w:lang w:val="fr-CH"/>
          <w14:ligatures w14:val="none"/>
        </w:rPr>
        <w:t> </w:t>
      </w:r>
      <w:r w:rsidRPr="00E15538">
        <w:rPr>
          <w:rFonts w:ascii="NimbusSanNov" w:eastAsia="Times New Roman" w:hAnsi="NimbusSanNov"/>
          <w:lang w:val="fr-CH"/>
          <w14:ligatures w14:val="none"/>
        </w:rPr>
        <w:t>? Nous vous prions de nous fournir une liste avec des indications précises et liées à l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>objet selon les inscriptions au registre foncier.</w:t>
      </w:r>
    </w:p>
    <w:p w14:paraId="2BDB2793" w14:textId="06BE83C8" w:rsidR="00E15538" w:rsidRPr="00E15538" w:rsidRDefault="00E15538" w:rsidP="00E15538">
      <w:pPr>
        <w:spacing w:after="160" w:line="259" w:lineRule="auto"/>
        <w:rPr>
          <w:rFonts w:ascii="NimbusSanNov" w:eastAsia="Times New Roman" w:hAnsi="NimbusSanNov"/>
          <w:b/>
          <w:bCs/>
          <w:lang w:val="fr-CH"/>
          <w14:ligatures w14:val="none"/>
        </w:rPr>
      </w:pPr>
      <w:r w:rsidRPr="00E15538">
        <w:rPr>
          <w:rFonts w:ascii="NimbusSanNov" w:eastAsia="Times New Roman" w:hAnsi="NimbusSanNov"/>
          <w:b/>
          <w:bCs/>
          <w:lang w:val="fr-CH"/>
          <w14:ligatures w14:val="none"/>
        </w:rPr>
        <w:t>Éléments pour la communication d</w:t>
      </w:r>
      <w:r w:rsidR="00582633">
        <w:rPr>
          <w:rFonts w:ascii="NimbusSanNov" w:eastAsia="Times New Roman" w:hAnsi="NimbusSanNov"/>
          <w:b/>
          <w:bCs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b/>
          <w:bCs/>
          <w:lang w:val="fr-CH"/>
          <w14:ligatures w14:val="none"/>
        </w:rPr>
        <w:t>accompagnement</w:t>
      </w:r>
    </w:p>
    <w:p w14:paraId="752A590B" w14:textId="60135118" w:rsidR="00E15538" w:rsidRPr="00E15538" w:rsidRDefault="00E15538" w:rsidP="00E15538">
      <w:pPr>
        <w:pStyle w:val="Listenabsatz"/>
        <w:numPr>
          <w:ilvl w:val="0"/>
          <w:numId w:val="3"/>
        </w:numPr>
        <w:spacing w:after="160" w:line="259" w:lineRule="auto"/>
        <w:rPr>
          <w:rFonts w:ascii="NimbusSanNov" w:eastAsia="Times New Roman" w:hAnsi="NimbusSanNov"/>
          <w:lang w:val="fr-CH"/>
          <w14:ligatures w14:val="none"/>
        </w:rPr>
      </w:pPr>
      <w:r w:rsidRPr="00E15538">
        <w:rPr>
          <w:rFonts w:ascii="NimbusSanNov" w:eastAsia="Times New Roman" w:hAnsi="NimbusSanNov"/>
          <w:lang w:val="fr-CH"/>
          <w14:ligatures w14:val="none"/>
        </w:rPr>
        <w:t xml:space="preserve">La reprise du CS (et donc des portefeuilles immobiliers du CS, de ses fonds et de ses filiales) peut avoir pour conséquence que la nouvelle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mégabanque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devienne également un acteur dominant dans le domaine immobilier dans la ville </w:t>
      </w:r>
      <w:r w:rsidRPr="00E15538">
        <w:rPr>
          <w:rFonts w:ascii="NimbusSanNov" w:eastAsia="Times New Roman" w:hAnsi="NimbusSanNov"/>
          <w:highlight w:val="yellow"/>
          <w:lang w:val="fr-CH"/>
          <w14:ligatures w14:val="none"/>
        </w:rPr>
        <w:t>XYZ</w:t>
      </w:r>
      <w:r w:rsidRPr="00E15538">
        <w:rPr>
          <w:rFonts w:ascii="NimbusSanNov" w:eastAsia="Times New Roman" w:hAnsi="NimbusSanNov"/>
          <w:lang w:val="fr-CH"/>
          <w14:ligatures w14:val="none"/>
        </w:rPr>
        <w:t>.</w:t>
      </w:r>
    </w:p>
    <w:p w14:paraId="74A6DF52" w14:textId="1350FA25" w:rsidR="00E15538" w:rsidRPr="00E15538" w:rsidRDefault="00E15538" w:rsidP="00E15538">
      <w:pPr>
        <w:pStyle w:val="Listenabsatz"/>
        <w:numPr>
          <w:ilvl w:val="0"/>
          <w:numId w:val="3"/>
        </w:numPr>
        <w:spacing w:after="160" w:line="259" w:lineRule="auto"/>
        <w:rPr>
          <w:rFonts w:ascii="NimbusSanNov" w:eastAsia="Times New Roman" w:hAnsi="NimbusSanNov"/>
          <w:lang w:val="fr-CH"/>
          <w14:ligatures w14:val="none"/>
        </w:rPr>
      </w:pPr>
      <w:r w:rsidRPr="00E15538">
        <w:rPr>
          <w:rFonts w:ascii="NimbusSanNov" w:eastAsia="Times New Roman" w:hAnsi="NimbusSanNov"/>
          <w:lang w:val="fr-CH"/>
          <w14:ligatures w14:val="none"/>
        </w:rPr>
        <w:t>Il est important d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>avoir une vue d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 xml:space="preserve">ensemble des immeubles locatifs que la nouvelle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mégabanque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contrôle directement ou indirectement par le biais de ses véhicules de placement.</w:t>
      </w:r>
    </w:p>
    <w:p w14:paraId="40D25562" w14:textId="05A0FF48" w:rsidR="00E15538" w:rsidRPr="00E15538" w:rsidRDefault="00E15538" w:rsidP="00E15538">
      <w:pPr>
        <w:pStyle w:val="Listenabsatz"/>
        <w:numPr>
          <w:ilvl w:val="0"/>
          <w:numId w:val="3"/>
        </w:numPr>
        <w:spacing w:after="160" w:line="259" w:lineRule="auto"/>
        <w:rPr>
          <w:rFonts w:ascii="NimbusSanNov" w:eastAsia="Times New Roman" w:hAnsi="NimbusSanNov"/>
          <w:lang w:val="fr-CH"/>
          <w14:ligatures w14:val="none"/>
        </w:rPr>
      </w:pPr>
      <w:r w:rsidRPr="00E15538">
        <w:rPr>
          <w:rFonts w:ascii="NimbusSanNov" w:eastAsia="Times New Roman" w:hAnsi="NimbusSanNov"/>
          <w:lang w:val="fr-CH"/>
          <w14:ligatures w14:val="none"/>
        </w:rPr>
        <w:t>Il n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>est pas encore possible d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 xml:space="preserve">estimer si la reprise du </w:t>
      </w:r>
      <w:proofErr w:type="spellStart"/>
      <w:r w:rsidRPr="00E15538">
        <w:rPr>
          <w:rFonts w:ascii="NimbusSanNov" w:eastAsia="Times New Roman" w:hAnsi="NimbusSanNov"/>
          <w:lang w:val="fr-CH"/>
          <w14:ligatures w14:val="none"/>
        </w:rPr>
        <w:t>Cr</w:t>
      </w:r>
      <w:r w:rsidR="00582633">
        <w:rPr>
          <w:rFonts w:ascii="NimbusSanNov" w:eastAsia="Times New Roman" w:hAnsi="NimbusSanNov"/>
          <w:lang w:val="fr-CH"/>
          <w14:ligatures w14:val="none"/>
        </w:rPr>
        <w:t>e</w:t>
      </w:r>
      <w:r w:rsidRPr="00E15538">
        <w:rPr>
          <w:rFonts w:ascii="NimbusSanNov" w:eastAsia="Times New Roman" w:hAnsi="NimbusSanNov"/>
          <w:lang w:val="fr-CH"/>
          <w14:ligatures w14:val="none"/>
        </w:rPr>
        <w:t>dit</w:t>
      </w:r>
      <w:proofErr w:type="spellEnd"/>
      <w:r w:rsidRPr="00E15538">
        <w:rPr>
          <w:rFonts w:ascii="NimbusSanNov" w:eastAsia="Times New Roman" w:hAnsi="NimbusSanNov"/>
          <w:lang w:val="fr-CH"/>
          <w14:ligatures w14:val="none"/>
        </w:rPr>
        <w:t xml:space="preserve"> Suisse aura pour conséquence d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>augmenter encore les arnaques sur le dos des locataires. Aujourd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>hui, les locataires paient chaque année plus de 10</w:t>
      </w:r>
      <w:r w:rsidR="00582633">
        <w:rPr>
          <w:rFonts w:ascii="NimbusSanNov" w:eastAsia="Times New Roman" w:hAnsi="NimbusSanNov"/>
          <w:lang w:val="fr-CH"/>
          <w14:ligatures w14:val="none"/>
        </w:rPr>
        <w:t> </w:t>
      </w:r>
      <w:r w:rsidRPr="00E15538">
        <w:rPr>
          <w:rFonts w:ascii="NimbusSanNov" w:eastAsia="Times New Roman" w:hAnsi="NimbusSanNov"/>
          <w:lang w:val="fr-CH"/>
          <w14:ligatures w14:val="none"/>
        </w:rPr>
        <w:t>milliards de francs de loyer en plus de ce que la loi autorise.</w:t>
      </w:r>
    </w:p>
    <w:p w14:paraId="0F183666" w14:textId="40B26DC9" w:rsidR="001144A9" w:rsidRPr="00582633" w:rsidRDefault="00E15538" w:rsidP="00582633">
      <w:pPr>
        <w:pStyle w:val="Listenabsatz"/>
        <w:numPr>
          <w:ilvl w:val="0"/>
          <w:numId w:val="3"/>
        </w:numPr>
        <w:spacing w:after="160" w:line="259" w:lineRule="auto"/>
        <w:rPr>
          <w:rFonts w:ascii="NimbusSanNov" w:eastAsia="Times New Roman" w:hAnsi="NimbusSanNov"/>
          <w:lang w:val="fr-CH"/>
          <w14:ligatures w14:val="none"/>
        </w:rPr>
      </w:pPr>
      <w:r w:rsidRPr="00E15538">
        <w:rPr>
          <w:rFonts w:ascii="NimbusSanNov" w:eastAsia="Times New Roman" w:hAnsi="NimbusSanNov"/>
          <w:lang w:val="fr-CH"/>
          <w14:ligatures w14:val="none"/>
        </w:rPr>
        <w:t>Si l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 xml:space="preserve">UBS prévoit de vendre des immeubles de ces portefeuilles, la ville de </w:t>
      </w:r>
      <w:r w:rsidRPr="00E15538">
        <w:rPr>
          <w:rFonts w:ascii="NimbusSanNov" w:eastAsia="Times New Roman" w:hAnsi="NimbusSanNov"/>
          <w:highlight w:val="yellow"/>
          <w:lang w:val="fr-CH"/>
          <w14:ligatures w14:val="none"/>
        </w:rPr>
        <w:t>XYZ</w:t>
      </w:r>
      <w:r w:rsidRPr="00E15538">
        <w:rPr>
          <w:rFonts w:ascii="NimbusSanNov" w:eastAsia="Times New Roman" w:hAnsi="NimbusSanNov"/>
          <w:lang w:val="fr-CH"/>
          <w14:ligatures w14:val="none"/>
        </w:rPr>
        <w:t xml:space="preserve"> doit s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>assurer par des moyens appropriés que les pouvoirs publics et les maîtres d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>ouvrage d</w:t>
      </w:r>
      <w:r w:rsidR="00582633">
        <w:rPr>
          <w:rFonts w:ascii="NimbusSanNov" w:eastAsia="Times New Roman" w:hAnsi="NimbusSanNov"/>
          <w:lang w:val="fr-CH"/>
          <w14:ligatures w14:val="none"/>
        </w:rPr>
        <w:t>’</w:t>
      </w:r>
      <w:r w:rsidRPr="00E15538">
        <w:rPr>
          <w:rFonts w:ascii="NimbusSanNov" w:eastAsia="Times New Roman" w:hAnsi="NimbusSanNov"/>
          <w:lang w:val="fr-CH"/>
          <w14:ligatures w14:val="none"/>
        </w:rPr>
        <w:t xml:space="preserve">utilité publique (coopératives, fondations, etc.) y trouvent leur compte. </w:t>
      </w:r>
      <w:r w:rsidR="001144A9" w:rsidRPr="00582633">
        <w:rPr>
          <w:rFonts w:ascii="NimbusSanNov" w:eastAsia="Times New Roman" w:hAnsi="NimbusSanNov"/>
          <w:sz w:val="24"/>
          <w:szCs w:val="24"/>
        </w:rPr>
        <w:t xml:space="preserve"> </w:t>
      </w:r>
    </w:p>
    <w:sectPr w:rsidR="001144A9" w:rsidRPr="005826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147B6" w14:textId="77777777" w:rsidR="00CC4465" w:rsidRDefault="00CC4465" w:rsidP="00E15538">
      <w:r>
        <w:separator/>
      </w:r>
    </w:p>
  </w:endnote>
  <w:endnote w:type="continuationSeparator" w:id="0">
    <w:p w14:paraId="2116E7F6" w14:textId="77777777" w:rsidR="00CC4465" w:rsidRDefault="00CC4465" w:rsidP="00E1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Nov">
    <w:altName w:val="Cambria"/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6F23E" w14:textId="77777777" w:rsidR="00CC4465" w:rsidRDefault="00CC4465" w:rsidP="00E15538">
      <w:r>
        <w:separator/>
      </w:r>
    </w:p>
  </w:footnote>
  <w:footnote w:type="continuationSeparator" w:id="0">
    <w:p w14:paraId="1E9ED870" w14:textId="77777777" w:rsidR="00CC4465" w:rsidRDefault="00CC4465" w:rsidP="00E1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6649"/>
    <w:multiLevelType w:val="hybridMultilevel"/>
    <w:tmpl w:val="B6A8C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60A"/>
    <w:multiLevelType w:val="multilevel"/>
    <w:tmpl w:val="9484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A12B7"/>
    <w:multiLevelType w:val="hybridMultilevel"/>
    <w:tmpl w:val="5BA423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A525F"/>
    <w:multiLevelType w:val="hybridMultilevel"/>
    <w:tmpl w:val="EC36867C"/>
    <w:lvl w:ilvl="0" w:tplc="3DD455CC">
      <w:start w:val="3"/>
      <w:numFmt w:val="bullet"/>
      <w:lvlText w:val="-"/>
      <w:lvlJc w:val="left"/>
      <w:pPr>
        <w:ind w:left="720" w:hanging="360"/>
      </w:pPr>
      <w:rPr>
        <w:rFonts w:ascii="NimbusSanNov" w:eastAsia="Times New Roman" w:hAnsi="NimbusSanNov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A1"/>
    <w:rsid w:val="001144A9"/>
    <w:rsid w:val="001F26A1"/>
    <w:rsid w:val="0029523B"/>
    <w:rsid w:val="003D0541"/>
    <w:rsid w:val="00426DB5"/>
    <w:rsid w:val="004C6ADC"/>
    <w:rsid w:val="004D7150"/>
    <w:rsid w:val="00582633"/>
    <w:rsid w:val="00747F0C"/>
    <w:rsid w:val="00A150C4"/>
    <w:rsid w:val="00A27D52"/>
    <w:rsid w:val="00A46B7B"/>
    <w:rsid w:val="00B45D0C"/>
    <w:rsid w:val="00B71D27"/>
    <w:rsid w:val="00CC4465"/>
    <w:rsid w:val="00E15538"/>
    <w:rsid w:val="00E3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E2F6D"/>
  <w15:chartTrackingRefBased/>
  <w15:docId w15:val="{EE000BA7-4906-4434-8508-040EABB9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F26A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pasted0">
    <w:name w:val="contentpasted0"/>
    <w:basedOn w:val="Absatz-Standardschriftart"/>
    <w:rsid w:val="00B71D27"/>
  </w:style>
  <w:style w:type="paragraph" w:styleId="berarbeitung">
    <w:name w:val="Revision"/>
    <w:hidden/>
    <w:uiPriority w:val="99"/>
    <w:semiHidden/>
    <w:rsid w:val="00A46B7B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Listenabsatz">
    <w:name w:val="List Paragraph"/>
    <w:basedOn w:val="Standard"/>
    <w:uiPriority w:val="34"/>
    <w:qFormat/>
    <w:rsid w:val="00A46B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155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5538"/>
    <w:rPr>
      <w:rFonts w:ascii="Calibri" w:hAnsi="Calibri" w:cs="Calibri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E155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5538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1689</Characters>
  <Application>Microsoft Office Word</Application>
  <DocSecurity>4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Parlamentsdienste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Wyler Rebekka PARL GRP</dc:creator>
  <cp:keywords/>
  <dc:description/>
  <cp:lastModifiedBy>Wyler Rebekka PARL GRP</cp:lastModifiedBy>
  <cp:revision>2</cp:revision>
  <dcterms:created xsi:type="dcterms:W3CDTF">2023-03-28T08:23:00Z</dcterms:created>
  <dcterms:modified xsi:type="dcterms:W3CDTF">2023-03-28T08:23:00Z</dcterms:modified>
</cp:coreProperties>
</file>