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469050A1" w14:textId="40D5C873" w:rsidR="006E3BC5" w:rsidRPr="006E3BC5" w:rsidRDefault="006E3BC5" w:rsidP="00346EFD">
      <w:pPr>
        <w:rPr>
          <w:rFonts w:eastAsia="Times New Roman"/>
          <w:sz w:val="48"/>
          <w:szCs w:val="48"/>
        </w:rPr>
      </w:pPr>
      <w:r w:rsidRPr="006E3BC5">
        <w:rPr>
          <w:rFonts w:eastAsia="Times New Roman"/>
          <w:sz w:val="48"/>
          <w:szCs w:val="48"/>
        </w:rPr>
        <w:t xml:space="preserve">Parlamentarischer Vorstoss </w:t>
      </w:r>
    </w:p>
    <w:p w14:paraId="179B6356" w14:textId="77777777" w:rsidR="006E3BC5" w:rsidRDefault="006E3BC5" w:rsidP="00346EFD">
      <w:pPr>
        <w:rPr>
          <w:rFonts w:eastAsia="Times New Roman"/>
        </w:rPr>
      </w:pPr>
    </w:p>
    <w:p w14:paraId="0ED3206A" w14:textId="77777777" w:rsidR="006E3BC5" w:rsidRPr="006E3BC5" w:rsidRDefault="006E3BC5" w:rsidP="00346EFD">
      <w:pPr>
        <w:rPr>
          <w:rFonts w:eastAsia="Times New Roman"/>
          <w:sz w:val="18"/>
          <w:szCs w:val="18"/>
        </w:rPr>
      </w:pPr>
      <w:r w:rsidRPr="006E3BC5">
        <w:rPr>
          <w:rFonts w:eastAsia="Times New Roman"/>
          <w:sz w:val="18"/>
          <w:szCs w:val="18"/>
        </w:rPr>
        <w:t xml:space="preserve">Vorstoss-Nr.: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268-2024 </w:t>
      </w:r>
      <w:r w:rsidRPr="006E3BC5">
        <w:rPr>
          <w:rFonts w:eastAsia="Times New Roman"/>
          <w:sz w:val="18"/>
          <w:szCs w:val="18"/>
        </w:rPr>
        <w:br/>
      </w:r>
      <w:r w:rsidRPr="006E3BC5">
        <w:rPr>
          <w:rFonts w:eastAsia="Times New Roman"/>
          <w:sz w:val="18"/>
          <w:szCs w:val="18"/>
        </w:rPr>
        <w:t xml:space="preserve">Vorstossart: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Motion </w:t>
      </w:r>
      <w:r w:rsidRPr="006E3BC5">
        <w:rPr>
          <w:rFonts w:eastAsia="Times New Roman"/>
          <w:sz w:val="18"/>
          <w:szCs w:val="18"/>
        </w:rPr>
        <w:br/>
      </w:r>
      <w:r w:rsidRPr="006E3BC5">
        <w:rPr>
          <w:rFonts w:eastAsia="Times New Roman"/>
          <w:sz w:val="18"/>
          <w:szCs w:val="18"/>
        </w:rPr>
        <w:t xml:space="preserve">Richtlinienmotion: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r>
      <w:r w:rsidRPr="006E3BC5">
        <w:rPr>
          <w:rFonts w:eastAsia="Times New Roman"/>
          <w:sz w:val="18"/>
          <w:szCs w:val="18"/>
        </w:rPr>
        <w:t xml:space="preserve">Geschäftsnummer: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2024.GRPARL.87 </w:t>
      </w:r>
    </w:p>
    <w:p w14:paraId="6FFBA63D" w14:textId="4CEC6CA3" w:rsidR="006E3BC5" w:rsidRPr="006E3BC5" w:rsidRDefault="006E3BC5" w:rsidP="00346EFD">
      <w:pPr>
        <w:rPr>
          <w:rFonts w:eastAsia="Times New Roman"/>
          <w:sz w:val="18"/>
          <w:szCs w:val="18"/>
        </w:rPr>
      </w:pPr>
      <w:r w:rsidRPr="006E3BC5">
        <w:rPr>
          <w:rFonts w:eastAsia="Times New Roman"/>
          <w:sz w:val="18"/>
          <w:szCs w:val="18"/>
        </w:rPr>
        <w:t xml:space="preserve">Eingereicht am: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04.12.2024 </w:t>
      </w:r>
    </w:p>
    <w:p w14:paraId="02342EFA" w14:textId="25109616" w:rsidR="006E3BC5" w:rsidRPr="006E3BC5" w:rsidRDefault="006E3BC5" w:rsidP="006E3BC5">
      <w:pPr>
        <w:rPr>
          <w:rFonts w:eastAsia="Times New Roman"/>
          <w:sz w:val="18"/>
          <w:szCs w:val="18"/>
        </w:rPr>
      </w:pPr>
      <w:r w:rsidRPr="006E3BC5">
        <w:rPr>
          <w:rFonts w:eastAsia="Times New Roman"/>
          <w:sz w:val="18"/>
          <w:szCs w:val="18"/>
        </w:rPr>
        <w:t xml:space="preserve">Fraktionsvorstoss: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r>
      <w:r w:rsidRPr="006E3BC5">
        <w:rPr>
          <w:rFonts w:eastAsia="Times New Roman"/>
          <w:sz w:val="18"/>
          <w:szCs w:val="18"/>
        </w:rPr>
        <w:t xml:space="preserve">Vorstoss Ratsorgan: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r>
      <w:proofErr w:type="gramStart"/>
      <w:r w:rsidRPr="006E3BC5">
        <w:rPr>
          <w:rFonts w:eastAsia="Times New Roman"/>
          <w:sz w:val="18"/>
          <w:szCs w:val="18"/>
        </w:rPr>
        <w:t>Eingereicht</w:t>
      </w:r>
      <w:proofErr w:type="gramEnd"/>
      <w:r w:rsidRPr="006E3BC5">
        <w:rPr>
          <w:rFonts w:eastAsia="Times New Roman"/>
          <w:sz w:val="18"/>
          <w:szCs w:val="18"/>
        </w:rPr>
        <w:t xml:space="preserve"> von: </w:t>
      </w:r>
      <w:r w:rsidRPr="006E3BC5">
        <w:rPr>
          <w:rFonts w:eastAsia="Times New Roman"/>
          <w:sz w:val="18"/>
          <w:szCs w:val="18"/>
        </w:rPr>
        <w:tab/>
      </w:r>
      <w:r w:rsidRPr="006E3BC5">
        <w:rPr>
          <w:rFonts w:eastAsia="Times New Roman"/>
          <w:sz w:val="18"/>
          <w:szCs w:val="18"/>
        </w:rPr>
        <w:tab/>
      </w:r>
      <w:r>
        <w:rPr>
          <w:rFonts w:eastAsia="Times New Roman"/>
          <w:sz w:val="18"/>
          <w:szCs w:val="18"/>
        </w:rPr>
        <w:tab/>
      </w:r>
      <w:proofErr w:type="spellStart"/>
      <w:r w:rsidRPr="006E3BC5">
        <w:rPr>
          <w:rFonts w:eastAsia="Times New Roman"/>
          <w:sz w:val="18"/>
          <w:szCs w:val="18"/>
        </w:rPr>
        <w:t>Bühlmann</w:t>
      </w:r>
      <w:proofErr w:type="spellEnd"/>
      <w:r w:rsidRPr="006E3BC5">
        <w:rPr>
          <w:rFonts w:eastAsia="Times New Roman"/>
          <w:sz w:val="18"/>
          <w:szCs w:val="18"/>
        </w:rPr>
        <w:t xml:space="preserve"> (Bern, GRÜNE) (Sprecher/in) </w:t>
      </w:r>
      <w:r w:rsidRPr="006E3BC5">
        <w:rPr>
          <w:rFonts w:eastAsia="Times New Roman"/>
          <w:sz w:val="18"/>
          <w:szCs w:val="18"/>
        </w:rPr>
        <w:br/>
        <w:t xml:space="preserve">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Berger-Sturm (Grosshöchstetten, SP) </w:t>
      </w:r>
      <w:r w:rsidRPr="006E3BC5">
        <w:rPr>
          <w:rFonts w:eastAsia="Times New Roman"/>
          <w:sz w:val="18"/>
          <w:szCs w:val="18"/>
        </w:rPr>
        <w:br/>
        <w:t xml:space="preserve">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Steiner (Boll, EVP) </w:t>
      </w:r>
      <w:r w:rsidRPr="006E3BC5">
        <w:rPr>
          <w:rFonts w:eastAsia="Times New Roman"/>
          <w:sz w:val="18"/>
          <w:szCs w:val="18"/>
        </w:rPr>
        <w:br/>
        <w:t xml:space="preserve">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Haudenschild (Niederbipp, FDP) </w:t>
      </w:r>
      <w:r w:rsidRPr="006E3BC5">
        <w:rPr>
          <w:rFonts w:eastAsia="Times New Roman"/>
          <w:sz w:val="18"/>
          <w:szCs w:val="18"/>
        </w:rPr>
        <w:br/>
      </w:r>
      <w:r w:rsidRPr="006E3BC5">
        <w:rPr>
          <w:rFonts w:eastAsia="Times New Roman"/>
          <w:sz w:val="18"/>
          <w:szCs w:val="18"/>
        </w:rPr>
        <w:t xml:space="preserve">Weitere Unterschriften: </w:t>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 </w:t>
      </w:r>
    </w:p>
    <w:p w14:paraId="15FEEA88" w14:textId="1430D9AF" w:rsidR="006E3BC5" w:rsidRPr="006E3BC5" w:rsidRDefault="006E3BC5" w:rsidP="006E3BC5">
      <w:pPr>
        <w:rPr>
          <w:rFonts w:eastAsia="Times New Roman"/>
          <w:sz w:val="18"/>
          <w:szCs w:val="18"/>
        </w:rPr>
      </w:pPr>
      <w:r w:rsidRPr="006E3BC5">
        <w:rPr>
          <w:rFonts w:eastAsia="Times New Roman"/>
          <w:sz w:val="18"/>
          <w:szCs w:val="18"/>
        </w:rPr>
        <w:t xml:space="preserve">Dringlichkeit verlangt: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r>
      <w:r w:rsidRPr="006E3BC5">
        <w:rPr>
          <w:rFonts w:eastAsia="Times New Roman"/>
          <w:sz w:val="18"/>
          <w:szCs w:val="18"/>
        </w:rPr>
        <w:t xml:space="preserve">Dringlichkeit gewährt: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p>
    <w:p w14:paraId="485516FC" w14:textId="085AA0EA" w:rsidR="006E3BC5" w:rsidRPr="006E3BC5" w:rsidRDefault="006E3BC5" w:rsidP="006E3BC5">
      <w:pPr>
        <w:rPr>
          <w:rFonts w:eastAsia="Times New Roman"/>
          <w:sz w:val="18"/>
          <w:szCs w:val="18"/>
        </w:rPr>
      </w:pPr>
      <w:r w:rsidRPr="006E3BC5">
        <w:rPr>
          <w:rFonts w:eastAsia="Times New Roman"/>
          <w:sz w:val="18"/>
          <w:szCs w:val="18"/>
        </w:rPr>
        <w:t xml:space="preserve">RRB-Nr.: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vom </w:t>
      </w:r>
      <w:r w:rsidRPr="006E3BC5">
        <w:rPr>
          <w:rFonts w:eastAsia="Times New Roman"/>
          <w:sz w:val="18"/>
          <w:szCs w:val="18"/>
        </w:rPr>
        <w:br/>
      </w:r>
      <w:r w:rsidRPr="006E3BC5">
        <w:rPr>
          <w:rFonts w:eastAsia="Times New Roman"/>
          <w:sz w:val="18"/>
          <w:szCs w:val="18"/>
        </w:rPr>
        <w:t xml:space="preserve">Direktion: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 xml:space="preserve">... </w:t>
      </w:r>
      <w:r w:rsidRPr="006E3BC5">
        <w:rPr>
          <w:rFonts w:eastAsia="Times New Roman"/>
          <w:sz w:val="18"/>
          <w:szCs w:val="18"/>
        </w:rPr>
        <w:br/>
      </w:r>
      <w:r w:rsidRPr="006E3BC5">
        <w:rPr>
          <w:rFonts w:eastAsia="Times New Roman"/>
          <w:sz w:val="18"/>
          <w:szCs w:val="18"/>
        </w:rPr>
        <w:t xml:space="preserve">Klassifizierung: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Nicht klassifiziert </w:t>
      </w:r>
      <w:r w:rsidRPr="006E3BC5">
        <w:rPr>
          <w:rFonts w:eastAsia="Times New Roman"/>
          <w:sz w:val="18"/>
          <w:szCs w:val="18"/>
        </w:rPr>
        <w:br/>
      </w:r>
      <w:r w:rsidRPr="006E3BC5">
        <w:rPr>
          <w:rFonts w:eastAsia="Times New Roman"/>
          <w:sz w:val="18"/>
          <w:szCs w:val="18"/>
        </w:rPr>
        <w:t xml:space="preserve">Antrag Regierungsrat: </w:t>
      </w:r>
      <w:r w:rsidRPr="006E3BC5">
        <w:rPr>
          <w:rFonts w:eastAsia="Times New Roman"/>
          <w:sz w:val="18"/>
          <w:szCs w:val="18"/>
        </w:rPr>
        <w:tab/>
      </w:r>
      <w:r w:rsidRPr="006E3BC5">
        <w:rPr>
          <w:rFonts w:eastAsia="Times New Roman"/>
          <w:sz w:val="18"/>
          <w:szCs w:val="18"/>
        </w:rPr>
        <w:tab/>
      </w:r>
      <w:r w:rsidRPr="006E3BC5">
        <w:rPr>
          <w:rFonts w:eastAsia="Times New Roman"/>
          <w:b/>
          <w:bCs/>
          <w:sz w:val="18"/>
          <w:szCs w:val="18"/>
        </w:rPr>
        <w:t>Auswahl</w:t>
      </w:r>
      <w:r w:rsidRPr="006E3BC5">
        <w:rPr>
          <w:rFonts w:eastAsia="Times New Roman"/>
          <w:sz w:val="18"/>
          <w:szCs w:val="18"/>
        </w:rPr>
        <w:t xml:space="preserve"> </w:t>
      </w:r>
    </w:p>
    <w:p w14:paraId="04C5030E" w14:textId="77777777" w:rsidR="006E3BC5" w:rsidRDefault="006E3BC5" w:rsidP="006E3BC5">
      <w:pPr>
        <w:rPr>
          <w:rFonts w:eastAsia="Times New Roman"/>
        </w:rPr>
      </w:pPr>
    </w:p>
    <w:p w14:paraId="126B8912" w14:textId="77777777" w:rsidR="006E3BC5" w:rsidRPr="006E3BC5" w:rsidRDefault="006E3BC5" w:rsidP="006E3BC5">
      <w:pPr>
        <w:jc w:val="both"/>
        <w:rPr>
          <w:rFonts w:eastAsia="Times New Roman"/>
          <w:b/>
          <w:bCs/>
        </w:rPr>
      </w:pPr>
      <w:r w:rsidRPr="006E3BC5">
        <w:rPr>
          <w:rFonts w:eastAsia="Times New Roman"/>
          <w:b/>
          <w:bCs/>
        </w:rPr>
        <w:t xml:space="preserve">Kinder und Jugendliche in der Nothilfe im Asylbereich: Verbesserung der Wohnsituation </w:t>
      </w:r>
    </w:p>
    <w:p w14:paraId="68244E60" w14:textId="77777777" w:rsidR="006E3BC5" w:rsidRDefault="006E3BC5" w:rsidP="006E3BC5">
      <w:pPr>
        <w:jc w:val="both"/>
        <w:rPr>
          <w:rFonts w:eastAsia="Times New Roman"/>
        </w:rPr>
      </w:pPr>
      <w:r w:rsidRPr="006E3BC5">
        <w:rPr>
          <w:rFonts w:eastAsia="Times New Roman"/>
        </w:rPr>
        <w:t xml:space="preserve">Der Regierungsrat wird beauftragt, die Wohnsituation von Kindern und Jugendlichen in der Nothilfe mit folgenden Massnahmen schnell zu verbessern und eine Reduktion der Belegung in den Rückkehrzentren für Familien zu erzielen: </w:t>
      </w:r>
    </w:p>
    <w:p w14:paraId="63F91CF5" w14:textId="66D8DCE9" w:rsidR="006E3BC5" w:rsidRPr="006E3BC5" w:rsidRDefault="006E3BC5" w:rsidP="006E3BC5">
      <w:pPr>
        <w:pStyle w:val="Paragraphedeliste"/>
        <w:numPr>
          <w:ilvl w:val="0"/>
          <w:numId w:val="6"/>
        </w:numPr>
        <w:ind w:left="357" w:hanging="357"/>
        <w:contextualSpacing w:val="0"/>
        <w:jc w:val="both"/>
        <w:rPr>
          <w:rFonts w:eastAsia="Times New Roman"/>
        </w:rPr>
      </w:pPr>
      <w:r w:rsidRPr="006E3BC5">
        <w:rPr>
          <w:rFonts w:eastAsia="Times New Roman"/>
        </w:rPr>
        <w:t xml:space="preserve">Familien mit Kindern in der Langzeitnothilfe sind grundsätzlich mit entsprechender Begleitung in einer (Nothilfe- oder Privat-)Wohnung unterzubringen. </w:t>
      </w:r>
    </w:p>
    <w:p w14:paraId="461C1E82" w14:textId="77777777" w:rsidR="006E3BC5" w:rsidRDefault="006E3BC5" w:rsidP="006E3BC5">
      <w:pPr>
        <w:pStyle w:val="Paragraphedeliste"/>
        <w:numPr>
          <w:ilvl w:val="0"/>
          <w:numId w:val="6"/>
        </w:numPr>
        <w:ind w:left="357" w:hanging="357"/>
        <w:contextualSpacing w:val="0"/>
        <w:jc w:val="both"/>
        <w:rPr>
          <w:rFonts w:eastAsia="Times New Roman"/>
        </w:rPr>
      </w:pPr>
      <w:r w:rsidRPr="006E3BC5">
        <w:rPr>
          <w:rFonts w:eastAsia="Times New Roman"/>
        </w:rPr>
        <w:t xml:space="preserve">Familien, die während des Asylverfahrens in einer Wohnung leben, sollen nach einem Negativentscheid </w:t>
      </w:r>
      <w:proofErr w:type="gramStart"/>
      <w:r w:rsidRPr="006E3BC5">
        <w:rPr>
          <w:rFonts w:eastAsia="Times New Roman"/>
        </w:rPr>
        <w:t>dort bleiben</w:t>
      </w:r>
      <w:proofErr w:type="gramEnd"/>
      <w:r w:rsidRPr="006E3BC5">
        <w:rPr>
          <w:rFonts w:eastAsia="Times New Roman"/>
        </w:rPr>
        <w:t xml:space="preserve"> können und nicht in ein Rückkehrzentrum umziehen müssen. </w:t>
      </w:r>
    </w:p>
    <w:p w14:paraId="71AE97F8" w14:textId="77777777" w:rsidR="006E3BC5" w:rsidRDefault="006E3BC5" w:rsidP="006E3BC5">
      <w:pPr>
        <w:pStyle w:val="Paragraphedeliste"/>
        <w:numPr>
          <w:ilvl w:val="0"/>
          <w:numId w:val="6"/>
        </w:numPr>
        <w:ind w:left="357" w:hanging="357"/>
        <w:contextualSpacing w:val="0"/>
        <w:jc w:val="both"/>
        <w:rPr>
          <w:rFonts w:eastAsia="Times New Roman"/>
        </w:rPr>
      </w:pPr>
      <w:r w:rsidRPr="006E3BC5">
        <w:rPr>
          <w:rFonts w:eastAsia="Times New Roman"/>
        </w:rPr>
        <w:t>In allen Rückkehrzentren sind ausreichend auf die unterschiedlichen Bedürfnisse von Kindern und Jugendlichen ausgerichtete Räume (insbesondere Rückzugs-, Lern- und Spielräume), die immer zur Verfügung stehen, sowie ein sicherer und kindgerechter Aussenraum zum freien Spielen und Bewegen einzurichten.</w:t>
      </w:r>
    </w:p>
    <w:p w14:paraId="0E0E302A" w14:textId="77777777" w:rsidR="006E3BC5" w:rsidRDefault="006E3BC5" w:rsidP="006E3BC5">
      <w:pPr>
        <w:jc w:val="both"/>
        <w:rPr>
          <w:rFonts w:eastAsia="Times New Roman"/>
        </w:rPr>
      </w:pPr>
      <w:r w:rsidRPr="006E3BC5">
        <w:rPr>
          <w:rFonts w:eastAsia="Times New Roman"/>
        </w:rPr>
        <w:t xml:space="preserve">Begründung: </w:t>
      </w:r>
    </w:p>
    <w:p w14:paraId="16C137C8" w14:textId="77777777" w:rsidR="006E3BC5" w:rsidRDefault="006E3BC5" w:rsidP="006E3BC5">
      <w:pPr>
        <w:jc w:val="both"/>
        <w:rPr>
          <w:rFonts w:eastAsia="Times New Roman"/>
        </w:rPr>
      </w:pPr>
      <w:r w:rsidRPr="006E3BC5">
        <w:rPr>
          <w:rFonts w:eastAsia="Times New Roman"/>
        </w:rPr>
        <w:t>Aktuell leben im Kanton Bern 111 minderjährige Kinder oder Jugendliche mit negativem Asylentscheid in der Nothilfe. Nicht wenige von ihnen haben einen Grossteil ihres Lebens im Nothilfesystem und damit in Rückkehrzentren verbracht. Dies bringt für die Betroffenen grosse Risiken mit sich: Eine umfassende Analyse der Situation in der Schweiz durch das Marie-</w:t>
      </w:r>
      <w:proofErr w:type="spellStart"/>
      <w:r w:rsidRPr="006E3BC5">
        <w:rPr>
          <w:rFonts w:eastAsia="Times New Roman"/>
        </w:rPr>
        <w:t>MeierhoferInstitut</w:t>
      </w:r>
      <w:proofErr w:type="spellEnd"/>
      <w:r w:rsidRPr="006E3BC5">
        <w:rPr>
          <w:rFonts w:eastAsia="Times New Roman"/>
        </w:rPr>
        <w:t xml:space="preserve"> für das Kind (MMI)</w:t>
      </w:r>
      <w:r>
        <w:rPr>
          <w:rStyle w:val="Appelnotedebasdep"/>
          <w:rFonts w:eastAsia="Times New Roman"/>
        </w:rPr>
        <w:footnoteReference w:id="1"/>
      </w:r>
      <w:r w:rsidRPr="006E3BC5">
        <w:rPr>
          <w:rFonts w:eastAsia="Times New Roman"/>
        </w:rPr>
        <w:t xml:space="preserve"> zeigt deutlich, dass die Lebensumstände in der Nothilfe im </w:t>
      </w:r>
      <w:r w:rsidRPr="006E3BC5">
        <w:rPr>
          <w:rFonts w:eastAsia="Times New Roman"/>
        </w:rPr>
        <w:lastRenderedPageBreak/>
        <w:t>Asylbereich</w:t>
      </w:r>
      <w:r>
        <w:rPr>
          <w:rFonts w:eastAsia="Times New Roman"/>
        </w:rPr>
        <w:t xml:space="preserve"> die </w:t>
      </w:r>
      <w:r w:rsidRPr="006E3BC5">
        <w:rPr>
          <w:rFonts w:eastAsia="Times New Roman"/>
        </w:rPr>
        <w:t xml:space="preserve">Gesundheit und die Entwicklung der betroffenen Kinder und Jugendlichen gefährden, und dass dies die Kinderrechte verletzt. </w:t>
      </w:r>
    </w:p>
    <w:p w14:paraId="5BF94E8E" w14:textId="0249B968" w:rsidR="006E3BC5" w:rsidRDefault="006E3BC5" w:rsidP="006E3BC5">
      <w:pPr>
        <w:jc w:val="both"/>
        <w:rPr>
          <w:rFonts w:eastAsia="Times New Roman"/>
        </w:rPr>
      </w:pPr>
      <w:r w:rsidRPr="006E3BC5">
        <w:rPr>
          <w:rFonts w:eastAsia="Times New Roman"/>
        </w:rPr>
        <w:t>Im Kanton Bern werden Familien mit negativem Asylentscheid normalerweise nicht in</w:t>
      </w:r>
      <w:r>
        <w:rPr>
          <w:rFonts w:eastAsia="Times New Roman"/>
        </w:rPr>
        <w:t xml:space="preserve"> </w:t>
      </w:r>
      <w:r w:rsidRPr="006E3BC5">
        <w:rPr>
          <w:rFonts w:eastAsia="Times New Roman"/>
        </w:rPr>
        <w:t xml:space="preserve">Wohnungen untergebracht, obwohl die gesetzlichen Grundlagen Ausnahmen vorsehen würden, sondern in den Rückkehrzentren </w:t>
      </w:r>
      <w:proofErr w:type="spellStart"/>
      <w:r w:rsidRPr="006E3BC5">
        <w:rPr>
          <w:rFonts w:eastAsia="Times New Roman"/>
        </w:rPr>
        <w:t>Bellellay</w:t>
      </w:r>
      <w:proofErr w:type="spellEnd"/>
      <w:r w:rsidRPr="006E3BC5">
        <w:rPr>
          <w:rFonts w:eastAsia="Times New Roman"/>
        </w:rPr>
        <w:t xml:space="preserve">, Aarwangen und </w:t>
      </w:r>
      <w:proofErr w:type="spellStart"/>
      <w:r w:rsidRPr="006E3BC5">
        <w:rPr>
          <w:rFonts w:eastAsia="Times New Roman"/>
        </w:rPr>
        <w:t>Enggistein</w:t>
      </w:r>
      <w:proofErr w:type="spellEnd"/>
      <w:r w:rsidRPr="006E3BC5">
        <w:rPr>
          <w:rFonts w:eastAsia="Times New Roman"/>
        </w:rPr>
        <w:t xml:space="preserve">. Diese Zentren sind heute noch viel stärker belegt als zum Zeitpunkt, als die Grundlagen für die Studie des MMI erarbeitet wurden. Im RZB </w:t>
      </w:r>
      <w:proofErr w:type="spellStart"/>
      <w:r w:rsidRPr="006E3BC5">
        <w:rPr>
          <w:rFonts w:eastAsia="Times New Roman"/>
        </w:rPr>
        <w:t>Enggistein</w:t>
      </w:r>
      <w:proofErr w:type="spellEnd"/>
      <w:r w:rsidRPr="006E3BC5">
        <w:rPr>
          <w:rFonts w:eastAsia="Times New Roman"/>
        </w:rPr>
        <w:t xml:space="preserve"> lebten im Jahr 2022 30 Personen im Zentrum, heute 60 bis 70. Der fehlende Platz und die fehlende Privatsphäre sind eine grosse Belastung für die Familien. </w:t>
      </w:r>
    </w:p>
    <w:p w14:paraId="7FEABCBC" w14:textId="77777777" w:rsidR="006E3BC5" w:rsidRDefault="006E3BC5" w:rsidP="006E3BC5">
      <w:pPr>
        <w:jc w:val="both"/>
        <w:rPr>
          <w:rFonts w:eastAsia="Times New Roman"/>
        </w:rPr>
      </w:pPr>
      <w:r w:rsidRPr="006E3BC5">
        <w:rPr>
          <w:rFonts w:eastAsia="Times New Roman"/>
        </w:rPr>
        <w:t>Zahlreiche Vorstösse, die auf eine Verbesserung der Wohnsituation von Familien in der Nothilfe abzielten, z. B. M 022-2022 (</w:t>
      </w:r>
      <w:proofErr w:type="spellStart"/>
      <w:r w:rsidRPr="006E3BC5">
        <w:rPr>
          <w:rFonts w:eastAsia="Times New Roman"/>
        </w:rPr>
        <w:t>Veglio</w:t>
      </w:r>
      <w:proofErr w:type="spellEnd"/>
      <w:r w:rsidRPr="006E3BC5">
        <w:rPr>
          <w:rFonts w:eastAsia="Times New Roman"/>
        </w:rPr>
        <w:t xml:space="preserve">), M 057-2022 «(Sancar) und M 054-2022 (Marti), hat der Regierungsrat abgewiesen mit der Begründung, dass begleitete Kinder in Rückkehrzentren nicht besonders vulnerabel sind, und dass ihren Bedürfnissen in Rückkehrzentren Rechnung getragen wird. Auch in seiner Antwort auf die Interpellation 055-2024 (Patzen) vertritt der Regierungsrat diese Haltung und sieht keinen Handlungsbedarf. Diese Einschätzung wird durch den Bericht der EMK klar in Frage gestellt. Da der Kanton Bern gemäss Interpellationsantwort keine Daten zur effektiven Situation der Kinder erhebt, kann die Einschätzung der kantonalen Behörde zur angeblichen guten Befindlichkeit der Kinder nicht belegt werden. </w:t>
      </w:r>
    </w:p>
    <w:p w14:paraId="1443C902" w14:textId="77777777" w:rsidR="006E3BC5" w:rsidRDefault="006E3BC5" w:rsidP="006E3BC5">
      <w:pPr>
        <w:jc w:val="both"/>
        <w:rPr>
          <w:rFonts w:eastAsia="Times New Roman"/>
        </w:rPr>
      </w:pPr>
      <w:r w:rsidRPr="006E3BC5">
        <w:rPr>
          <w:rFonts w:eastAsia="Times New Roman"/>
        </w:rPr>
        <w:t xml:space="preserve">Gemäss MMI-Bericht steht ausreisepflichtigen, nothilfebeziehenden Familien mit minderjährigen Kindern in den meisten Rückkehrzentren lediglich ein Zimmer zur Verfügung. Dies gilt auch für den Kanton Bern, z. B. im RKZ </w:t>
      </w:r>
      <w:proofErr w:type="spellStart"/>
      <w:r w:rsidRPr="006E3BC5">
        <w:rPr>
          <w:rFonts w:eastAsia="Times New Roman"/>
        </w:rPr>
        <w:t>Enggistein</w:t>
      </w:r>
      <w:proofErr w:type="spellEnd"/>
      <w:r w:rsidRPr="006E3BC5">
        <w:rPr>
          <w:rFonts w:eastAsia="Times New Roman"/>
        </w:rPr>
        <w:t xml:space="preserve">. Der fehlende Platz und die fehlende Privatsphäre sind eine grosse Belastung für die Familien. Es wurde zwar unter Begleitung von «Save </w:t>
      </w:r>
      <w:proofErr w:type="spellStart"/>
      <w:r w:rsidRPr="006E3BC5">
        <w:rPr>
          <w:rFonts w:eastAsia="Times New Roman"/>
        </w:rPr>
        <w:t>the</w:t>
      </w:r>
      <w:proofErr w:type="spellEnd"/>
      <w:r w:rsidRPr="006E3BC5">
        <w:rPr>
          <w:rFonts w:eastAsia="Times New Roman"/>
        </w:rPr>
        <w:t xml:space="preserve"> Children» ein Spielzimmer eingerichtet, das aber entgegen der Antwort auf die Interpellation Patzen nicht für die über 20 Kinder (vom Baby bis zum Jugendlichen) ausreicht. Es bestehen weder Lernbereiche noch Rückzugsmöglichkeiten für Jugendliche, und der Aussenraum ist sehr begrenzt. Die Gemeinschaftsbereiche sind meist voll belegt mit Erwachsenen und Kindern und entsprechend lärmig. Sie können nicht als Rückzugsort bezeichnet werden. </w:t>
      </w:r>
    </w:p>
    <w:p w14:paraId="49A1DF98" w14:textId="77777777" w:rsidR="006E3BC5" w:rsidRDefault="006E3BC5" w:rsidP="006E3BC5">
      <w:pPr>
        <w:jc w:val="both"/>
        <w:rPr>
          <w:rFonts w:eastAsia="Times New Roman"/>
        </w:rPr>
      </w:pPr>
      <w:r w:rsidRPr="006E3BC5">
        <w:rPr>
          <w:rFonts w:eastAsia="Times New Roman"/>
        </w:rPr>
        <w:t xml:space="preserve">Die Unterbringung in Wohnungen von Familien mit Kindern in der Langzeitnothilfe würde zu einer Reduktion der Belegung führen und entsprechend auch die Situation der Menschen in den Zentren verbessern. Dass dies möglich ist, zeigen Beispiele wie der Kanton Waadt, wo Familien, die schon länger hier leben, in der Regel in einer Wohnung leben und auch mit Nothilfe selten in einem Zentrum untergebracht sind. </w:t>
      </w:r>
    </w:p>
    <w:p w14:paraId="75DACB83" w14:textId="1B64056B" w:rsidR="006E3BC5" w:rsidRDefault="006E3BC5" w:rsidP="006E3BC5">
      <w:pPr>
        <w:jc w:val="both"/>
        <w:rPr>
          <w:rFonts w:eastAsia="Times New Roman"/>
        </w:rPr>
      </w:pPr>
      <w:r w:rsidRPr="006E3BC5">
        <w:rPr>
          <w:rFonts w:eastAsia="Times New Roman"/>
        </w:rPr>
        <w:t>Gemäss UNO-Kinderrechtskonvention, die die Schweiz 1997 ratifiziert hat, hat jedes Kind ein Recht darauf, gesund und sicher aufzuwachsen, sein Potenzial zu entfalten, angehört und ernst genommen zu werden. Ein Rechtsgutachten der Universität Neuenburg</w:t>
      </w:r>
      <w:r>
        <w:rPr>
          <w:rStyle w:val="Appelnotedebasdep"/>
          <w:rFonts w:eastAsia="Times New Roman"/>
        </w:rPr>
        <w:footnoteReference w:id="2"/>
      </w:r>
      <w:r w:rsidRPr="006E3BC5">
        <w:rPr>
          <w:rFonts w:eastAsia="Times New Roman"/>
        </w:rPr>
        <w:t xml:space="preserve"> hält fest, dass die Lebensbedingungen der Kinder in der Nothilfe im Asylbereich nicht mit der schweizerischen Bundesverfassung und der UNO-Kinderrechtskonvention vereinbar sind. </w:t>
      </w:r>
    </w:p>
    <w:p w14:paraId="6CA0BAE0" w14:textId="72481481" w:rsidR="006E3BC5" w:rsidRDefault="006E3BC5" w:rsidP="006E3BC5">
      <w:pPr>
        <w:jc w:val="both"/>
        <w:rPr>
          <w:rFonts w:eastAsia="Times New Roman"/>
        </w:rPr>
      </w:pPr>
      <w:r w:rsidRPr="006E3BC5">
        <w:rPr>
          <w:rFonts w:eastAsia="Times New Roman"/>
        </w:rPr>
        <w:t>Es kann und darf nicht Wille des Gesetzgebers sein, systematisch Kinderrechte zu verletzen. Die Wohnsituation ist deshalb so bald wie möglich und insbesondere für Familien in Langzeitnothilfe zu verbessern.</w:t>
      </w:r>
    </w:p>
    <w:p w14:paraId="4E9ADDDE" w14:textId="77777777" w:rsidR="006E3BC5" w:rsidRDefault="006E3BC5" w:rsidP="006E3BC5">
      <w:pPr>
        <w:jc w:val="both"/>
        <w:rPr>
          <w:rFonts w:eastAsia="Times New Roman"/>
        </w:rPr>
      </w:pPr>
    </w:p>
    <w:p w14:paraId="10C6556D" w14:textId="263E653E" w:rsidR="00346EFD" w:rsidRPr="006E3BC5" w:rsidRDefault="006E3BC5" w:rsidP="006E3BC5">
      <w:pPr>
        <w:jc w:val="both"/>
        <w:rPr>
          <w:rFonts w:eastAsia="Times New Roman"/>
          <w:sz w:val="18"/>
          <w:szCs w:val="18"/>
        </w:rPr>
      </w:pPr>
      <w:r w:rsidRPr="006E3BC5">
        <w:rPr>
          <w:rFonts w:eastAsia="Times New Roman"/>
          <w:sz w:val="18"/>
          <w:szCs w:val="18"/>
        </w:rPr>
        <w:t xml:space="preserve">Verteiler </w:t>
      </w:r>
      <w:r w:rsidRPr="006E3BC5">
        <w:rPr>
          <w:rFonts w:eastAsia="Times New Roman"/>
          <w:sz w:val="18"/>
          <w:szCs w:val="18"/>
        </w:rPr>
        <w:br/>
      </w:r>
      <w:r w:rsidRPr="006E3BC5">
        <w:rPr>
          <w:rFonts w:ascii="Arial" w:eastAsia="Times New Roman" w:hAnsi="Arial" w:cs="Arial"/>
          <w:sz w:val="18"/>
          <w:szCs w:val="18"/>
        </w:rPr>
        <w:t>‒</w:t>
      </w:r>
      <w:r w:rsidRPr="006E3BC5">
        <w:rPr>
          <w:rFonts w:eastAsia="Times New Roman"/>
          <w:sz w:val="18"/>
          <w:szCs w:val="18"/>
        </w:rPr>
        <w:t xml:space="preserve"> Grosser Rat</w:t>
      </w:r>
    </w:p>
    <w:sectPr w:rsidR="00346EFD" w:rsidRPr="006E3BC5"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092A" w14:textId="77777777" w:rsidR="00CF3A81" w:rsidRDefault="00CF3A81" w:rsidP="006F4315">
      <w:pPr>
        <w:spacing w:after="0" w:line="240" w:lineRule="auto"/>
      </w:pPr>
      <w:r>
        <w:separator/>
      </w:r>
    </w:p>
  </w:endnote>
  <w:endnote w:type="continuationSeparator" w:id="0">
    <w:p w14:paraId="242E974D" w14:textId="77777777" w:rsidR="00CF3A81" w:rsidRDefault="00CF3A81"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F9B91" w14:textId="77777777" w:rsidR="00CF3A81" w:rsidRDefault="00CF3A81" w:rsidP="006F4315">
      <w:pPr>
        <w:spacing w:after="0" w:line="240" w:lineRule="auto"/>
      </w:pPr>
      <w:r>
        <w:separator/>
      </w:r>
    </w:p>
  </w:footnote>
  <w:footnote w:type="continuationSeparator" w:id="0">
    <w:p w14:paraId="3554BEC7" w14:textId="77777777" w:rsidR="00CF3A81" w:rsidRDefault="00CF3A81" w:rsidP="006F4315">
      <w:pPr>
        <w:spacing w:after="0" w:line="240" w:lineRule="auto"/>
      </w:pPr>
      <w:r>
        <w:continuationSeparator/>
      </w:r>
    </w:p>
  </w:footnote>
  <w:footnote w:id="1">
    <w:p w14:paraId="65D3001A" w14:textId="48EDFCA0" w:rsidR="006E3BC5" w:rsidRPr="006E3BC5" w:rsidRDefault="006E3BC5">
      <w:pPr>
        <w:pStyle w:val="Notedebasdepage"/>
      </w:pPr>
      <w:r>
        <w:rPr>
          <w:rStyle w:val="Appelnotedebasdep"/>
        </w:rPr>
        <w:footnoteRef/>
      </w:r>
      <w:r>
        <w:t xml:space="preserve"> </w:t>
      </w:r>
      <w:r w:rsidRPr="006E3BC5">
        <w:rPr>
          <w:rFonts w:eastAsia="Times New Roman"/>
        </w:rPr>
        <w:t xml:space="preserve">«Kinder und Jugendliche in der Nothilfe im Asylbereich – Systematische Untersuchung der Situation in der Schweiz», EKM 2024; </w:t>
      </w:r>
      <w:hyperlink r:id="rId1" w:history="1">
        <w:r w:rsidRPr="002F3F2E">
          <w:rPr>
            <w:rStyle w:val="Lienhypertexte"/>
            <w:rFonts w:eastAsia="Times New Roman"/>
          </w:rPr>
          <w:t>https://www.newsd.admin.ch/newsd/message/attachments/89806.pdf</w:t>
        </w:r>
      </w:hyperlink>
      <w:r>
        <w:rPr>
          <w:rFonts w:eastAsia="Times New Roman"/>
        </w:rPr>
        <w:t xml:space="preserve"> </w:t>
      </w:r>
    </w:p>
  </w:footnote>
  <w:footnote w:id="2">
    <w:p w14:paraId="67308CF8" w14:textId="646AF553" w:rsidR="006E3BC5" w:rsidRPr="006E3BC5" w:rsidRDefault="006E3BC5">
      <w:pPr>
        <w:pStyle w:val="Notedebasdepage"/>
      </w:pPr>
      <w:r>
        <w:rPr>
          <w:rStyle w:val="Appelnotedebasdep"/>
        </w:rPr>
        <w:footnoteRef/>
      </w:r>
      <w:r>
        <w:t xml:space="preserve"> </w:t>
      </w:r>
      <w:r w:rsidRPr="006E3BC5">
        <w:rPr>
          <w:rFonts w:eastAsia="Times New Roman"/>
        </w:rPr>
        <w:t xml:space="preserve">«Das Nothilferegime und die Rechte des Kindes», EKM 2023; </w:t>
      </w:r>
      <w:hyperlink r:id="rId2" w:history="1">
        <w:r w:rsidRPr="002F3F2E">
          <w:rPr>
            <w:rStyle w:val="Lienhypertexte"/>
            <w:rFonts w:eastAsia="Times New Roman"/>
          </w:rPr>
          <w:t>https://www.newsd.admin.ch/newsd/message/attachments/89808.pdf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B16CE"/>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9A1A74"/>
    <w:rsid w:val="009C18BB"/>
    <w:rsid w:val="00A42D26"/>
    <w:rsid w:val="00AA26EC"/>
    <w:rsid w:val="00AE30F4"/>
    <w:rsid w:val="00AE7DED"/>
    <w:rsid w:val="00B13A30"/>
    <w:rsid w:val="00B46838"/>
    <w:rsid w:val="00B564FE"/>
    <w:rsid w:val="00B67A20"/>
    <w:rsid w:val="00BD2BDF"/>
    <w:rsid w:val="00C4718B"/>
    <w:rsid w:val="00CF3A81"/>
    <w:rsid w:val="00D66FF2"/>
    <w:rsid w:val="00D94A35"/>
    <w:rsid w:val="00D964D2"/>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ewsd.admin.ch/newsd/message/attachments/89808.pdf" TargetMode="External"/><Relationship Id="rId1" Type="http://schemas.openxmlformats.org/officeDocument/2006/relationships/hyperlink" Target="https://www.newsd.admin.ch/newsd/message/attachments/89806.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4552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24</cp:revision>
  <dcterms:created xsi:type="dcterms:W3CDTF">2024-10-07T13:11:00Z</dcterms:created>
  <dcterms:modified xsi:type="dcterms:W3CDTF">2025-01-23T08:41:00Z</dcterms:modified>
</cp:coreProperties>
</file>